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73D0F7A1" w:rsidR="00201BEF" w:rsidRPr="00882A02" w:rsidRDefault="00201BEF" w:rsidP="00201BEF">
      <w:pPr>
        <w:pStyle w:val="3GPPHeader"/>
        <w:spacing w:after="60"/>
        <w:rPr>
          <w:sz w:val="32"/>
          <w:szCs w:val="32"/>
          <w:highlight w:val="yellow"/>
          <w:lang w:val="de-DE"/>
        </w:rPr>
      </w:pPr>
      <w:bookmarkStart w:id="0" w:name="_Hlk512852793"/>
      <w:r w:rsidRPr="00882A02">
        <w:rPr>
          <w:lang w:val="de-DE"/>
        </w:rPr>
        <w:t>3GPP TSG-RAN WG2 #10</w:t>
      </w:r>
      <w:r w:rsidR="007C7168" w:rsidRPr="00882A02">
        <w:rPr>
          <w:lang w:val="de-DE"/>
        </w:rPr>
        <w:t>5</w:t>
      </w:r>
      <w:r w:rsidR="00711C36" w:rsidRPr="00882A02">
        <w:rPr>
          <w:lang w:val="de-DE"/>
        </w:rPr>
        <w:t>bis</w:t>
      </w:r>
      <w:r w:rsidRPr="00882A02">
        <w:rPr>
          <w:lang w:val="de-DE"/>
        </w:rPr>
        <w:tab/>
      </w:r>
      <w:r w:rsidRPr="00882A02">
        <w:rPr>
          <w:sz w:val="32"/>
          <w:szCs w:val="32"/>
          <w:lang w:val="de-DE"/>
        </w:rPr>
        <w:t xml:space="preserve"> TDoc </w:t>
      </w:r>
      <w:r w:rsidR="00882A02" w:rsidRPr="00882A02">
        <w:rPr>
          <w:sz w:val="32"/>
          <w:szCs w:val="32"/>
          <w:lang w:val="de-DE"/>
        </w:rPr>
        <w:t>R2-190471</w:t>
      </w:r>
      <w:r w:rsidR="00882A02">
        <w:rPr>
          <w:sz w:val="32"/>
          <w:szCs w:val="32"/>
          <w:lang w:val="de-DE"/>
        </w:rPr>
        <w:t>1</w:t>
      </w:r>
    </w:p>
    <w:bookmarkEnd w:id="0"/>
    <w:p w14:paraId="55EAE9A2" w14:textId="6086E085" w:rsidR="00201BEF" w:rsidRDefault="003673B0" w:rsidP="00201BEF">
      <w:pPr>
        <w:pStyle w:val="CRCoverPage"/>
        <w:outlineLvl w:val="0"/>
        <w:rPr>
          <w:b/>
          <w:noProof/>
          <w:sz w:val="24"/>
        </w:rPr>
      </w:pPr>
      <w:r>
        <w:rPr>
          <w:b/>
          <w:noProof/>
          <w:sz w:val="24"/>
        </w:rPr>
        <w:t>Xi’an</w:t>
      </w:r>
      <w:r w:rsidR="00201BEF">
        <w:rPr>
          <w:b/>
          <w:noProof/>
          <w:sz w:val="24"/>
        </w:rPr>
        <w:t xml:space="preserve">, </w:t>
      </w:r>
      <w:r w:rsidR="00ED6B49">
        <w:rPr>
          <w:b/>
          <w:noProof/>
          <w:sz w:val="24"/>
        </w:rPr>
        <w:t>China</w:t>
      </w:r>
      <w:r w:rsidR="00201BEF">
        <w:rPr>
          <w:b/>
          <w:noProof/>
          <w:sz w:val="24"/>
        </w:rPr>
        <w:t xml:space="preserve">, </w:t>
      </w:r>
      <w:r w:rsidR="00ED6B49">
        <w:rPr>
          <w:b/>
          <w:noProof/>
          <w:sz w:val="24"/>
        </w:rPr>
        <w:t>8</w:t>
      </w:r>
      <w:r w:rsidR="00201BEF">
        <w:rPr>
          <w:b/>
          <w:noProof/>
          <w:sz w:val="24"/>
          <w:vertAlign w:val="superscript"/>
        </w:rPr>
        <w:t>th</w:t>
      </w:r>
      <w:r w:rsidR="00ED6B49">
        <w:rPr>
          <w:b/>
          <w:noProof/>
          <w:sz w:val="24"/>
          <w:vertAlign w:val="superscript"/>
        </w:rPr>
        <w:t xml:space="preserve"> </w:t>
      </w:r>
      <w:r w:rsidR="00201BEF">
        <w:rPr>
          <w:b/>
          <w:noProof/>
          <w:sz w:val="24"/>
        </w:rPr>
        <w:t>– 1</w:t>
      </w:r>
      <w:r w:rsidR="00ED6B49">
        <w:rPr>
          <w:b/>
          <w:noProof/>
          <w:sz w:val="24"/>
        </w:rPr>
        <w:t>2</w:t>
      </w:r>
      <w:r w:rsidR="00ED6B49">
        <w:rPr>
          <w:b/>
          <w:noProof/>
          <w:sz w:val="24"/>
          <w:vertAlign w:val="superscript"/>
        </w:rPr>
        <w:t>th</w:t>
      </w:r>
      <w:r w:rsidR="007C7168">
        <w:rPr>
          <w:b/>
          <w:noProof/>
          <w:sz w:val="24"/>
        </w:rPr>
        <w:t xml:space="preserve"> </w:t>
      </w:r>
      <w:r w:rsidR="00ED6B49">
        <w:rPr>
          <w:b/>
          <w:noProof/>
          <w:sz w:val="24"/>
        </w:rPr>
        <w:t xml:space="preserve">April </w:t>
      </w:r>
      <w:r w:rsidR="00201BEF">
        <w:rPr>
          <w:b/>
          <w:noProof/>
          <w:sz w:val="24"/>
        </w:rPr>
        <w:t>201</w:t>
      </w:r>
      <w:r w:rsidR="007C7168">
        <w:rPr>
          <w:b/>
          <w:noProof/>
          <w:sz w:val="24"/>
        </w:rPr>
        <w:t>9</w:t>
      </w:r>
    </w:p>
    <w:p w14:paraId="3011E05E" w14:textId="77777777" w:rsidR="00201BEF" w:rsidRPr="00354B8A" w:rsidRDefault="00201BEF" w:rsidP="00201BEF">
      <w:pPr>
        <w:pStyle w:val="3GPPHeader"/>
      </w:pPr>
    </w:p>
    <w:p w14:paraId="38D93AEF" w14:textId="68D86604" w:rsidR="00201BEF" w:rsidRPr="00925133" w:rsidRDefault="00201BEF" w:rsidP="00201BEF">
      <w:pPr>
        <w:pStyle w:val="3GPPHeader"/>
        <w:rPr>
          <w:sz w:val="22"/>
          <w:szCs w:val="22"/>
        </w:rPr>
      </w:pPr>
      <w:r w:rsidRPr="00FD3FB3">
        <w:rPr>
          <w:sz w:val="22"/>
          <w:szCs w:val="22"/>
          <w:lang w:val="en-US"/>
        </w:rPr>
        <w:t xml:space="preserve">Agenda </w:t>
      </w:r>
      <w:r w:rsidR="00642C1D" w:rsidRPr="00FD3FB3">
        <w:rPr>
          <w:sz w:val="22"/>
          <w:szCs w:val="22"/>
          <w:lang w:val="en-US"/>
        </w:rPr>
        <w:t xml:space="preserve">Item: </w:t>
      </w:r>
      <w:r w:rsidR="00642C1D" w:rsidRPr="00FD3FB3">
        <w:rPr>
          <w:sz w:val="22"/>
          <w:szCs w:val="22"/>
          <w:lang w:val="en-US"/>
        </w:rPr>
        <w:tab/>
      </w:r>
      <w:r w:rsidR="00FF391E" w:rsidRPr="00FF391E">
        <w:rPr>
          <w:sz w:val="22"/>
          <w:szCs w:val="22"/>
        </w:rPr>
        <w:t>11.4.5</w:t>
      </w:r>
    </w:p>
    <w:p w14:paraId="00B6B2ED"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bookmarkStart w:id="1" w:name="_GoBack"/>
      <w:bookmarkEnd w:id="1"/>
    </w:p>
    <w:p w14:paraId="7BFAE83D" w14:textId="296401C4" w:rsidR="00201BEF" w:rsidRPr="00CE0424" w:rsidRDefault="00201BEF" w:rsidP="00201BEF">
      <w:pPr>
        <w:pStyle w:val="3GPPHeader"/>
        <w:rPr>
          <w:sz w:val="22"/>
          <w:szCs w:val="22"/>
        </w:rPr>
      </w:pPr>
      <w:r>
        <w:rPr>
          <w:sz w:val="22"/>
          <w:szCs w:val="22"/>
        </w:rPr>
        <w:t>Title:</w:t>
      </w:r>
      <w:r w:rsidRPr="00CE0424">
        <w:rPr>
          <w:sz w:val="22"/>
          <w:szCs w:val="22"/>
        </w:rPr>
        <w:tab/>
      </w:r>
      <w:r w:rsidR="005A57F5">
        <w:rPr>
          <w:sz w:val="22"/>
          <w:szCs w:val="22"/>
        </w:rPr>
        <w:t xml:space="preserve">On </w:t>
      </w:r>
      <w:r w:rsidR="00FE5EE3">
        <w:rPr>
          <w:sz w:val="22"/>
          <w:szCs w:val="22"/>
        </w:rPr>
        <w:t xml:space="preserve">the </w:t>
      </w:r>
      <w:r w:rsidR="00F96DB5">
        <w:rPr>
          <w:sz w:val="22"/>
          <w:szCs w:val="22"/>
        </w:rPr>
        <w:t xml:space="preserve">use of communication range </w:t>
      </w:r>
      <w:r w:rsidR="0024002F">
        <w:rPr>
          <w:sz w:val="22"/>
          <w:szCs w:val="22"/>
        </w:rPr>
        <w:t>at</w:t>
      </w:r>
      <w:r w:rsidR="00F96DB5">
        <w:rPr>
          <w:sz w:val="22"/>
          <w:szCs w:val="22"/>
        </w:rPr>
        <w:t xml:space="preserve"> access stratum</w:t>
      </w:r>
    </w:p>
    <w:p w14:paraId="63AC6A90"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B395300" w14:textId="0E40EF1B" w:rsidR="00642C1D" w:rsidRPr="00044FF3" w:rsidRDefault="00201BEF" w:rsidP="00884B31">
      <w:pPr>
        <w:pStyle w:val="Heading1"/>
        <w:overflowPunct/>
        <w:autoSpaceDE/>
        <w:autoSpaceDN/>
        <w:adjustRightInd/>
        <w:textAlignment w:val="auto"/>
      </w:pPr>
      <w:bookmarkStart w:id="2" w:name="_Ref4229613"/>
      <w:r w:rsidRPr="00E32E8E">
        <w:t>Introduction</w:t>
      </w:r>
      <w:bookmarkStart w:id="3" w:name="_Ref490149211"/>
      <w:bookmarkEnd w:id="2"/>
    </w:p>
    <w:p w14:paraId="24FA11B0" w14:textId="7D749439" w:rsidR="00F41AF8" w:rsidRDefault="00F33619" w:rsidP="00884B31">
      <w:pPr>
        <w:rPr>
          <w:rFonts w:eastAsia="SimSun"/>
        </w:rPr>
      </w:pPr>
      <w:r>
        <w:rPr>
          <w:rFonts w:eastAsia="SimSun"/>
        </w:rPr>
        <w:t xml:space="preserve">In the latest TS 23.287, </w:t>
      </w:r>
      <w:r w:rsidR="00DB41F5">
        <w:rPr>
          <w:rFonts w:eastAsia="SimSun"/>
        </w:rPr>
        <w:t xml:space="preserve">the </w:t>
      </w:r>
      <w:r w:rsidR="005C27EC">
        <w:rPr>
          <w:rFonts w:eastAsia="SimSun"/>
        </w:rPr>
        <w:t>delivery of communication range is defined as following:</w:t>
      </w:r>
    </w:p>
    <w:tbl>
      <w:tblPr>
        <w:tblStyle w:val="TableGrid"/>
        <w:tblW w:w="0" w:type="auto"/>
        <w:tblLook w:val="04A0" w:firstRow="1" w:lastRow="0" w:firstColumn="1" w:lastColumn="0" w:noHBand="0" w:noVBand="1"/>
      </w:tblPr>
      <w:tblGrid>
        <w:gridCol w:w="9629"/>
      </w:tblGrid>
      <w:tr w:rsidR="005C27EC" w14:paraId="4C66B646" w14:textId="77777777" w:rsidTr="005C27EC">
        <w:tc>
          <w:tcPr>
            <w:tcW w:w="9629" w:type="dxa"/>
          </w:tcPr>
          <w:p w14:paraId="2879CC74" w14:textId="1F5639AE" w:rsidR="005C27EC" w:rsidRDefault="005C27EC" w:rsidP="00884B31">
            <w:pPr>
              <w:rPr>
                <w:rFonts w:eastAsia="SimSun"/>
              </w:rPr>
            </w:pPr>
            <w:r>
              <w:rPr>
                <w:rFonts w:eastAsia="SimSun"/>
              </w:rPr>
              <w:t xml:space="preserve">TS 23.287 </w:t>
            </w:r>
            <w:r w:rsidR="00C35A27">
              <w:rPr>
                <w:rFonts w:eastAsia="SimSun"/>
              </w:rPr>
              <w:t>- 5.4.1.1:</w:t>
            </w:r>
          </w:p>
          <w:p w14:paraId="596680C4" w14:textId="0484BE03" w:rsidR="00C35A27" w:rsidRDefault="00747F8D" w:rsidP="00884B31">
            <w:pPr>
              <w:rPr>
                <w:rFonts w:eastAsia="SimSun"/>
              </w:rPr>
            </w:pPr>
            <w:r>
              <w:rPr>
                <w:lang w:val="en-US"/>
              </w:rPr>
              <w:t xml:space="preserve">When groupcast or unicast mode of V2X communication over NR based PC5 is used, a Range parameter is associated with the QoS parameters for the V2X communication. The Range may be provided </w:t>
            </w:r>
            <w:r w:rsidRPr="00BD2E6D">
              <w:rPr>
                <w:lang w:val="en-US"/>
              </w:rPr>
              <w:t>by V2X application layer or use a default value mapped from the service type based on configuration as defined in clause</w:t>
            </w:r>
            <w:r w:rsidRPr="000C24A6">
              <w:t> </w:t>
            </w:r>
            <w:r>
              <w:rPr>
                <w:lang w:val="en-US"/>
              </w:rPr>
              <w:t>5.1.2.1. The Range indicates the minimum distance that the QoS parameters need to be fulfilled. The Range parameter is passed to AS layer together with the QoS parameters for dynamic control.</w:t>
            </w:r>
          </w:p>
        </w:tc>
      </w:tr>
    </w:tbl>
    <w:p w14:paraId="7C674444" w14:textId="77777777" w:rsidR="005C27EC" w:rsidRDefault="005C27EC" w:rsidP="00884B31">
      <w:pPr>
        <w:rPr>
          <w:rFonts w:eastAsia="SimSun"/>
        </w:rPr>
      </w:pPr>
    </w:p>
    <w:p w14:paraId="72B9736B" w14:textId="1DCAF43D" w:rsidR="00642C1D" w:rsidRPr="00884B31" w:rsidRDefault="00642C1D" w:rsidP="00884B31">
      <w:pPr>
        <w:rPr>
          <w:rFonts w:eastAsia="SimSun"/>
        </w:rPr>
      </w:pPr>
      <w:r>
        <w:rPr>
          <w:rFonts w:eastAsia="SimSun"/>
        </w:rPr>
        <w:t xml:space="preserve">This paper discusses </w:t>
      </w:r>
      <w:r w:rsidR="00F96DB5">
        <w:rPr>
          <w:rFonts w:eastAsia="SimSun"/>
        </w:rPr>
        <w:t>how access stratum utilizes</w:t>
      </w:r>
      <w:r w:rsidR="000304B8">
        <w:rPr>
          <w:rFonts w:eastAsia="SimSun"/>
        </w:rPr>
        <w:t xml:space="preserve"> communication range parameter that associated with a V2X service and delivered from upper layers. </w:t>
      </w:r>
    </w:p>
    <w:p w14:paraId="11FEEB38" w14:textId="0B377032" w:rsidR="00FC71EC" w:rsidRPr="00FC71EC" w:rsidRDefault="00201BEF" w:rsidP="00FC71EC">
      <w:pPr>
        <w:pStyle w:val="Heading1"/>
      </w:pPr>
      <w:r w:rsidRPr="00E32E8E">
        <w:t>Discussion</w:t>
      </w:r>
      <w:bookmarkEnd w:id="3"/>
    </w:p>
    <w:p w14:paraId="0125DF4F" w14:textId="7AF05294" w:rsidR="00235115" w:rsidRDefault="00DE0F73" w:rsidP="005A57F5">
      <w:pPr>
        <w:rPr>
          <w:rFonts w:cs="Arial"/>
        </w:rPr>
      </w:pPr>
      <w:bookmarkStart w:id="4" w:name="_Toc528574709"/>
      <w:bookmarkStart w:id="5" w:name="_Toc528856104"/>
      <w:bookmarkStart w:id="6" w:name="_Ref528871416"/>
      <w:bookmarkStart w:id="7" w:name="_Ref528871423"/>
      <w:r>
        <w:rPr>
          <w:rFonts w:cs="Arial"/>
        </w:rPr>
        <w:t>In our view,</w:t>
      </w:r>
      <w:r w:rsidR="00CC6F3F">
        <w:rPr>
          <w:rFonts w:cs="Arial"/>
        </w:rPr>
        <w:t xml:space="preserve"> </w:t>
      </w:r>
      <w:r w:rsidR="00412244">
        <w:rPr>
          <w:rFonts w:cs="Arial"/>
        </w:rPr>
        <w:t>the ac</w:t>
      </w:r>
      <w:r w:rsidR="00235115">
        <w:rPr>
          <w:rFonts w:cs="Arial"/>
        </w:rPr>
        <w:t>tual communication range between</w:t>
      </w:r>
      <w:r w:rsidR="003D7527">
        <w:rPr>
          <w:rFonts w:cs="Arial"/>
        </w:rPr>
        <w:t xml:space="preserve"> </w:t>
      </w:r>
      <w:r w:rsidR="00235115">
        <w:rPr>
          <w:rFonts w:cs="Arial"/>
        </w:rPr>
        <w:t xml:space="preserve">the transmitter (TX) UE and the receiver (RX) UE can be either accurately measured or roughly estimated. </w:t>
      </w:r>
    </w:p>
    <w:p w14:paraId="0F916A76" w14:textId="4D2C63C5" w:rsidR="000F65BD" w:rsidRDefault="008274F6" w:rsidP="005A57F5">
      <w:pPr>
        <w:rPr>
          <w:rFonts w:cs="Arial"/>
        </w:rPr>
      </w:pPr>
      <w:r>
        <w:rPr>
          <w:rFonts w:cs="Arial"/>
        </w:rPr>
        <w:t xml:space="preserve">To accurately measure the communication distance, </w:t>
      </w:r>
      <w:r w:rsidR="00462169">
        <w:rPr>
          <w:rFonts w:cs="Arial"/>
        </w:rPr>
        <w:t xml:space="preserve">the </w:t>
      </w:r>
      <w:r w:rsidR="00353345">
        <w:rPr>
          <w:rFonts w:cs="Arial"/>
        </w:rPr>
        <w:t>TX</w:t>
      </w:r>
      <w:r w:rsidR="00462169">
        <w:rPr>
          <w:rFonts w:cs="Arial"/>
        </w:rPr>
        <w:t xml:space="preserve"> UE</w:t>
      </w:r>
      <w:r w:rsidR="00DE0F73">
        <w:rPr>
          <w:rFonts w:cs="Arial"/>
        </w:rPr>
        <w:t xml:space="preserve"> </w:t>
      </w:r>
      <w:r w:rsidR="00462169">
        <w:rPr>
          <w:rFonts w:cs="Arial"/>
        </w:rPr>
        <w:t xml:space="preserve">and the </w:t>
      </w:r>
      <w:r w:rsidR="00353345">
        <w:rPr>
          <w:rFonts w:cs="Arial"/>
        </w:rPr>
        <w:t>RX</w:t>
      </w:r>
      <w:r w:rsidR="00462169">
        <w:rPr>
          <w:rFonts w:cs="Arial"/>
        </w:rPr>
        <w:t xml:space="preserve"> UE </w:t>
      </w:r>
      <w:r w:rsidR="004D1549">
        <w:rPr>
          <w:rFonts w:cs="Arial"/>
        </w:rPr>
        <w:t xml:space="preserve">must </w:t>
      </w:r>
      <w:r w:rsidR="005267B6">
        <w:rPr>
          <w:rFonts w:cs="Arial"/>
        </w:rPr>
        <w:t xml:space="preserve">know each other’s GPS </w:t>
      </w:r>
      <w:r w:rsidR="000F65BD">
        <w:rPr>
          <w:rFonts w:cs="Arial"/>
        </w:rPr>
        <w:t>location</w:t>
      </w:r>
      <w:r w:rsidR="006435B1">
        <w:rPr>
          <w:rFonts w:cs="Arial"/>
        </w:rPr>
        <w:t xml:space="preserve"> at </w:t>
      </w:r>
      <w:r w:rsidR="002E7776">
        <w:rPr>
          <w:rFonts w:cs="Arial"/>
        </w:rPr>
        <w:t>access stratum</w:t>
      </w:r>
      <w:r w:rsidR="000F65BD">
        <w:rPr>
          <w:rFonts w:cs="Arial"/>
        </w:rPr>
        <w:t xml:space="preserve">. On the other hand, </w:t>
      </w:r>
      <w:r w:rsidR="00F359D7">
        <w:rPr>
          <w:rFonts w:cs="Arial"/>
        </w:rPr>
        <w:t>that would require</w:t>
      </w:r>
      <w:r w:rsidR="002E7776">
        <w:rPr>
          <w:rFonts w:cs="Arial"/>
        </w:rPr>
        <w:t xml:space="preserve"> </w:t>
      </w:r>
      <w:r w:rsidR="00012064">
        <w:rPr>
          <w:rFonts w:cs="Arial"/>
        </w:rPr>
        <w:t xml:space="preserve">TX UE </w:t>
      </w:r>
      <w:r w:rsidR="00497CB2">
        <w:rPr>
          <w:rFonts w:cs="Arial"/>
        </w:rPr>
        <w:t>and RX UE to frequently exchange their GPS locatio</w:t>
      </w:r>
      <w:r w:rsidR="004E3AD1">
        <w:rPr>
          <w:rFonts w:cs="Arial"/>
        </w:rPr>
        <w:t>ns</w:t>
      </w:r>
      <w:r w:rsidR="00497CB2">
        <w:rPr>
          <w:rFonts w:cs="Arial"/>
        </w:rPr>
        <w:t xml:space="preserve">, </w:t>
      </w:r>
      <w:r w:rsidR="004759BD">
        <w:rPr>
          <w:rFonts w:cs="Arial"/>
        </w:rPr>
        <w:t>either by</w:t>
      </w:r>
      <w:r w:rsidR="004A0F92">
        <w:rPr>
          <w:rFonts w:cs="Arial"/>
        </w:rPr>
        <w:t xml:space="preserve"> adding it to SCI/data packet or</w:t>
      </w:r>
      <w:r w:rsidR="0026251F">
        <w:rPr>
          <w:rFonts w:cs="Arial"/>
        </w:rPr>
        <w:t xml:space="preserve"> by periodic </w:t>
      </w:r>
      <w:r w:rsidR="00CB78B0">
        <w:rPr>
          <w:rFonts w:cs="Arial"/>
        </w:rPr>
        <w:t>messaging</w:t>
      </w:r>
      <w:r w:rsidR="006B528E">
        <w:rPr>
          <w:rFonts w:cs="Arial"/>
        </w:rPr>
        <w:t xml:space="preserve">, which leads to </w:t>
      </w:r>
      <w:r w:rsidR="00A079D4">
        <w:rPr>
          <w:rFonts w:cs="Arial"/>
        </w:rPr>
        <w:t>extra</w:t>
      </w:r>
      <w:r w:rsidR="006B528E">
        <w:rPr>
          <w:rFonts w:cs="Arial"/>
        </w:rPr>
        <w:t xml:space="preserve"> overhead. </w:t>
      </w:r>
      <w:r w:rsidR="00F359D7">
        <w:rPr>
          <w:rFonts w:cs="Arial"/>
        </w:rPr>
        <w:t xml:space="preserve"> </w:t>
      </w:r>
      <w:r w:rsidR="000F65BD">
        <w:rPr>
          <w:rFonts w:cs="Arial"/>
        </w:rPr>
        <w:t xml:space="preserve"> </w:t>
      </w:r>
    </w:p>
    <w:p w14:paraId="48CB3A20" w14:textId="73DFDB15" w:rsidR="009A6FAC" w:rsidRDefault="004E3AD1" w:rsidP="005A57F5">
      <w:pPr>
        <w:rPr>
          <w:rFonts w:cs="Arial"/>
        </w:rPr>
      </w:pPr>
      <w:r>
        <w:rPr>
          <w:rFonts w:cs="Arial"/>
        </w:rPr>
        <w:t xml:space="preserve">Alternatively, </w:t>
      </w:r>
      <w:r w:rsidR="00DA1AC1">
        <w:rPr>
          <w:rFonts w:cs="Arial"/>
        </w:rPr>
        <w:t xml:space="preserve">it is </w:t>
      </w:r>
      <w:r>
        <w:rPr>
          <w:rFonts w:cs="Arial"/>
        </w:rPr>
        <w:t>also</w:t>
      </w:r>
      <w:r w:rsidR="00DA1AC1">
        <w:rPr>
          <w:rFonts w:cs="Arial"/>
        </w:rPr>
        <w:t xml:space="preserve"> possible</w:t>
      </w:r>
      <w:r w:rsidR="009A6FAC">
        <w:rPr>
          <w:rFonts w:cs="Arial"/>
        </w:rPr>
        <w:t xml:space="preserve"> to estimate the distance between the TX UE and RX UE</w:t>
      </w:r>
    </w:p>
    <w:p w14:paraId="5A98C220" w14:textId="72BDA24B" w:rsidR="009A6FAC" w:rsidRDefault="00384689" w:rsidP="009A6FAC">
      <w:pPr>
        <w:pStyle w:val="ListParagraph"/>
        <w:numPr>
          <w:ilvl w:val="0"/>
          <w:numId w:val="7"/>
        </w:numPr>
        <w:rPr>
          <w:rFonts w:cs="Arial"/>
        </w:rPr>
      </w:pPr>
      <w:r>
        <w:rPr>
          <w:rFonts w:cs="Arial"/>
        </w:rPr>
        <w:t>Based on received signal power, e.g. lower received power indicates larger distance</w:t>
      </w:r>
    </w:p>
    <w:p w14:paraId="1C733158" w14:textId="1DAD2806" w:rsidR="00384689" w:rsidRDefault="00384689" w:rsidP="009A6FAC">
      <w:pPr>
        <w:pStyle w:val="ListParagraph"/>
        <w:numPr>
          <w:ilvl w:val="0"/>
          <w:numId w:val="7"/>
        </w:numPr>
        <w:rPr>
          <w:rFonts w:cs="Arial"/>
        </w:rPr>
      </w:pPr>
      <w:r>
        <w:rPr>
          <w:rFonts w:cs="Arial"/>
        </w:rPr>
        <w:t>Based on zone ID information shared between TX UE and RX UE</w:t>
      </w:r>
    </w:p>
    <w:p w14:paraId="7C0B697E" w14:textId="47C6F558" w:rsidR="007C394A" w:rsidRDefault="0073340E" w:rsidP="008E41FE">
      <w:pPr>
        <w:rPr>
          <w:rFonts w:cs="Arial"/>
        </w:rPr>
      </w:pPr>
      <w:r>
        <w:rPr>
          <w:rFonts w:cs="Arial"/>
        </w:rPr>
        <w:t>Both</w:t>
      </w:r>
      <w:r w:rsidR="008E41FE" w:rsidRPr="008E41FE">
        <w:rPr>
          <w:rFonts w:cs="Arial"/>
        </w:rPr>
        <w:t xml:space="preserve"> approaches</w:t>
      </w:r>
      <w:r>
        <w:rPr>
          <w:rFonts w:cs="Arial"/>
        </w:rPr>
        <w:t>, i.e. received signal power based and zone ID based,</w:t>
      </w:r>
      <w:r w:rsidR="008E41FE" w:rsidRPr="008E41FE">
        <w:rPr>
          <w:rFonts w:cs="Arial"/>
        </w:rPr>
        <w:t xml:space="preserve"> provide reasonable distance estimation while sharing zone IDs between TX UE and RX UE would require extra signalling/overhead. Therefore, </w:t>
      </w:r>
      <w:r w:rsidR="009C42D4">
        <w:rPr>
          <w:rFonts w:cs="Arial"/>
        </w:rPr>
        <w:t xml:space="preserve">in our view </w:t>
      </w:r>
      <w:r w:rsidR="008E41FE" w:rsidRPr="008E41FE">
        <w:rPr>
          <w:rFonts w:cs="Arial"/>
        </w:rPr>
        <w:t>estimating the distance based on received signal power is simpler and more efficient.</w:t>
      </w:r>
    </w:p>
    <w:p w14:paraId="36BF0989" w14:textId="77777777" w:rsidR="00BB0F20" w:rsidRPr="008E41FE" w:rsidRDefault="00BB0F20" w:rsidP="008E41FE">
      <w:pPr>
        <w:rPr>
          <w:rFonts w:cs="Arial"/>
        </w:rPr>
      </w:pPr>
    </w:p>
    <w:p w14:paraId="5F44169A" w14:textId="4192E780" w:rsidR="00162F03" w:rsidRDefault="00DA1AC1" w:rsidP="00162F03">
      <w:pPr>
        <w:pStyle w:val="Observation"/>
      </w:pPr>
      <w:bookmarkStart w:id="8" w:name="_Ref976944"/>
      <w:bookmarkStart w:id="9" w:name="_Ref4229626"/>
      <w:r>
        <w:t xml:space="preserve">At access stratum, distance between TX UE and RX UE </w:t>
      </w:r>
      <w:r w:rsidR="004E188E">
        <w:t>can be</w:t>
      </w:r>
      <w:r>
        <w:t xml:space="preserve"> </w:t>
      </w:r>
      <w:bookmarkEnd w:id="8"/>
      <w:r w:rsidR="005226E1">
        <w:t>measured based on exchanged GPS location, or estimated based on received signal power or zone ID.</w:t>
      </w:r>
      <w:bookmarkEnd w:id="9"/>
      <w:r w:rsidR="005226E1">
        <w:t xml:space="preserve"> </w:t>
      </w:r>
    </w:p>
    <w:p w14:paraId="3BC7F80F" w14:textId="5B105CBD" w:rsidR="002A0228" w:rsidRPr="00384689" w:rsidRDefault="00E07E57" w:rsidP="002A0228">
      <w:pPr>
        <w:pStyle w:val="Proposal"/>
      </w:pPr>
      <w:bookmarkStart w:id="10" w:name="_Toc4704594"/>
      <w:r>
        <w:t xml:space="preserve">It is up to RAN1 to determine </w:t>
      </w:r>
      <w:r w:rsidR="00D92138">
        <w:t>how communication distance is measured/estimated.</w:t>
      </w:r>
      <w:bookmarkEnd w:id="10"/>
      <w:r w:rsidR="00D92138">
        <w:t xml:space="preserve"> </w:t>
      </w:r>
    </w:p>
    <w:p w14:paraId="2D341D35" w14:textId="77777777" w:rsidR="00D13E06" w:rsidRPr="00D13E06" w:rsidRDefault="00D13E06" w:rsidP="00D13E06">
      <w:pPr>
        <w:pStyle w:val="Proposal"/>
        <w:numPr>
          <w:ilvl w:val="0"/>
          <w:numId w:val="0"/>
        </w:numPr>
        <w:ind w:left="1701" w:hanging="1701"/>
      </w:pPr>
    </w:p>
    <w:p w14:paraId="5C7E2A98" w14:textId="3B9DB572" w:rsidR="00CE7C71" w:rsidRDefault="009144F3" w:rsidP="00CE7C71">
      <w:pPr>
        <w:rPr>
          <w:rFonts w:cs="Arial"/>
        </w:rPr>
      </w:pPr>
      <w:r>
        <w:rPr>
          <w:rFonts w:cs="Arial"/>
        </w:rPr>
        <w:t xml:space="preserve">Given </w:t>
      </w:r>
      <w:r w:rsidR="00160515">
        <w:rPr>
          <w:rFonts w:cs="Arial"/>
        </w:rPr>
        <w:t>a communication range requirement,</w:t>
      </w:r>
      <w:r w:rsidR="00D72E82">
        <w:rPr>
          <w:rFonts w:cs="Arial"/>
        </w:rPr>
        <w:t xml:space="preserve"> access stratum may try to fulfil </w:t>
      </w:r>
      <w:r w:rsidR="00160515">
        <w:rPr>
          <w:rFonts w:cs="Arial"/>
        </w:rPr>
        <w:t>it</w:t>
      </w:r>
      <w:r w:rsidR="00D72E82">
        <w:rPr>
          <w:rFonts w:cs="Arial"/>
        </w:rPr>
        <w:t xml:space="preserve"> in a best effort fashion. </w:t>
      </w:r>
      <w:r w:rsidR="00CE7C71">
        <w:rPr>
          <w:rFonts w:cs="Arial"/>
        </w:rPr>
        <w:t xml:space="preserve">For instance, </w:t>
      </w:r>
      <w:r w:rsidR="00CE7C71" w:rsidRPr="002331B3">
        <w:rPr>
          <w:rFonts w:cs="Arial"/>
        </w:rPr>
        <w:t>communication range associated with a V2X service can be used for power control</w:t>
      </w:r>
      <w:r w:rsidR="00CE7C71">
        <w:rPr>
          <w:rFonts w:cs="Arial"/>
        </w:rPr>
        <w:t xml:space="preserve"> at TX UE side</w:t>
      </w:r>
      <w:r w:rsidR="00CE7C71" w:rsidRPr="002331B3">
        <w:rPr>
          <w:rFonts w:cs="Arial"/>
        </w:rPr>
        <w:t>.</w:t>
      </w:r>
      <w:r w:rsidR="00CE7C71">
        <w:rPr>
          <w:rFonts w:cs="Arial"/>
        </w:rPr>
        <w:t xml:space="preserve"> This is particularly useful for groupcast communication where no CSIT is available. </w:t>
      </w:r>
      <w:r w:rsidR="00CE7C71" w:rsidRPr="002331B3">
        <w:rPr>
          <w:rFonts w:cs="Arial"/>
        </w:rPr>
        <w:t xml:space="preserve"> For instance, the transmission power can be relatively high if the required communication range is large, such that received signal strength for UEs at the edge of the communication range </w:t>
      </w:r>
      <w:r w:rsidR="00CE7C71">
        <w:rPr>
          <w:rFonts w:cs="Arial"/>
        </w:rPr>
        <w:t xml:space="preserve">of the group </w:t>
      </w:r>
      <w:r w:rsidR="00CE7C71" w:rsidRPr="002331B3">
        <w:rPr>
          <w:rFonts w:cs="Arial"/>
        </w:rPr>
        <w:t xml:space="preserve">will not be too weak. Besides, if </w:t>
      </w:r>
      <w:r w:rsidR="00CE7C71" w:rsidRPr="002331B3">
        <w:rPr>
          <w:rFonts w:cs="Arial"/>
        </w:rPr>
        <w:lastRenderedPageBreak/>
        <w:t xml:space="preserve">the required communication range is small, the transmission power can be low to reduce the interference to UEs outside the range. </w:t>
      </w:r>
    </w:p>
    <w:p w14:paraId="2C4699C7" w14:textId="77777777" w:rsidR="00CE7416" w:rsidRPr="002331B3" w:rsidRDefault="00CE7416" w:rsidP="00CE7C71">
      <w:pPr>
        <w:rPr>
          <w:rFonts w:cs="Arial"/>
        </w:rPr>
      </w:pPr>
    </w:p>
    <w:p w14:paraId="6166780A" w14:textId="7472D261" w:rsidR="00CE7416" w:rsidRDefault="00CE7C71" w:rsidP="009D6B40">
      <w:pPr>
        <w:pStyle w:val="Proposal"/>
      </w:pPr>
      <w:bookmarkStart w:id="11" w:name="_Toc534313413"/>
      <w:bookmarkStart w:id="12" w:name="_Toc534929621"/>
      <w:bookmarkStart w:id="13" w:name="_Toc534966011"/>
      <w:bookmarkStart w:id="14" w:name="_Ref536273659"/>
      <w:bookmarkStart w:id="15" w:name="_Ref976961"/>
      <w:bookmarkStart w:id="16" w:name="_Ref976963"/>
      <w:bookmarkStart w:id="17" w:name="_Ref4229649"/>
      <w:bookmarkStart w:id="18" w:name="_Toc4704595"/>
      <w:r w:rsidRPr="002375A1">
        <w:t>Communication range is an input for controlling the transmission power, particularly for groupcast.</w:t>
      </w:r>
      <w:bookmarkEnd w:id="11"/>
      <w:bookmarkEnd w:id="12"/>
      <w:bookmarkEnd w:id="13"/>
      <w:bookmarkEnd w:id="14"/>
      <w:bookmarkEnd w:id="15"/>
      <w:bookmarkEnd w:id="16"/>
      <w:r w:rsidRPr="002375A1">
        <w:t xml:space="preserve"> Details are left to RAN1 discussion.</w:t>
      </w:r>
      <w:bookmarkEnd w:id="17"/>
      <w:bookmarkEnd w:id="18"/>
    </w:p>
    <w:p w14:paraId="73FDCCC5" w14:textId="6D13ED24" w:rsidR="009D6B40" w:rsidRPr="002375A1" w:rsidRDefault="009D6B40" w:rsidP="009D6B40">
      <w:pPr>
        <w:pStyle w:val="Proposal"/>
        <w:numPr>
          <w:ilvl w:val="0"/>
          <w:numId w:val="0"/>
        </w:numPr>
        <w:ind w:left="1701" w:hanging="1701"/>
      </w:pPr>
    </w:p>
    <w:p w14:paraId="6EC47362" w14:textId="1B5AB226" w:rsidR="0001251D" w:rsidRDefault="00CE7416" w:rsidP="005A57F5">
      <w:pPr>
        <w:rPr>
          <w:rFonts w:cs="Arial"/>
        </w:rPr>
      </w:pPr>
      <w:r>
        <w:rPr>
          <w:rFonts w:cs="Arial"/>
        </w:rPr>
        <w:t xml:space="preserve">Besides, it has been widely discussed that </w:t>
      </w:r>
      <w:r w:rsidR="00086C1B">
        <w:rPr>
          <w:rFonts w:cs="Arial"/>
        </w:rPr>
        <w:t>communication range can be used to facilitate HARQ procedure in SL groupcast</w:t>
      </w:r>
      <w:r w:rsidR="00856626">
        <w:rPr>
          <w:rFonts w:cs="Arial"/>
        </w:rPr>
        <w:t>, i.e. RX UEs who fail to receive the packet will send a NACK to the TX UE</w:t>
      </w:r>
      <w:r w:rsidR="00211252">
        <w:rPr>
          <w:rFonts w:cs="Arial"/>
        </w:rPr>
        <w:t>. The f</w:t>
      </w:r>
      <w:r w:rsidR="003C0032">
        <w:rPr>
          <w:rFonts w:cs="Arial"/>
        </w:rPr>
        <w:t>ollowing relevant agreements are made in the recent RAN1 and RAN2 meetings</w:t>
      </w:r>
      <w:r w:rsidR="0039045C">
        <w:rPr>
          <w:rFonts w:cs="Arial"/>
        </w:rPr>
        <w:t>.</w:t>
      </w:r>
    </w:p>
    <w:tbl>
      <w:tblPr>
        <w:tblStyle w:val="TableGrid"/>
        <w:tblW w:w="0" w:type="auto"/>
        <w:tblLook w:val="04A0" w:firstRow="1" w:lastRow="0" w:firstColumn="1" w:lastColumn="0" w:noHBand="0" w:noVBand="1"/>
      </w:tblPr>
      <w:tblGrid>
        <w:gridCol w:w="9629"/>
      </w:tblGrid>
      <w:tr w:rsidR="007A5740" w14:paraId="6F6FFCDC" w14:textId="77777777" w:rsidTr="007A5740">
        <w:tc>
          <w:tcPr>
            <w:tcW w:w="9629" w:type="dxa"/>
          </w:tcPr>
          <w:p w14:paraId="7E36AAE0" w14:textId="77777777" w:rsidR="003C0032" w:rsidRDefault="003C0032" w:rsidP="007A5740">
            <w:pPr>
              <w:rPr>
                <w:rFonts w:cs="Arial"/>
              </w:rPr>
            </w:pPr>
            <w:r>
              <w:rPr>
                <w:rFonts w:cs="Arial"/>
              </w:rPr>
              <w:t xml:space="preserve">RAN1#96 </w:t>
            </w:r>
          </w:p>
          <w:p w14:paraId="364487CC" w14:textId="1CB24611" w:rsidR="007A5740" w:rsidRPr="00E66C21" w:rsidRDefault="007A5740" w:rsidP="007A5740">
            <w:pPr>
              <w:rPr>
                <w:highlight w:val="green"/>
              </w:rPr>
            </w:pPr>
            <w:r w:rsidRPr="00E66C21">
              <w:rPr>
                <w:highlight w:val="green"/>
              </w:rPr>
              <w:t>Agreements:</w:t>
            </w:r>
          </w:p>
          <w:p w14:paraId="7E1A6AF5" w14:textId="77777777" w:rsidR="007A5740" w:rsidRPr="0085049B" w:rsidRDefault="007A5740" w:rsidP="007A5740">
            <w:pPr>
              <w:numPr>
                <w:ilvl w:val="0"/>
                <w:numId w:val="9"/>
              </w:numPr>
              <w:overflowPunct/>
              <w:autoSpaceDE/>
              <w:autoSpaceDN/>
              <w:adjustRightInd/>
              <w:spacing w:after="0"/>
              <w:jc w:val="left"/>
              <w:textAlignment w:val="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6862EA4" w14:textId="77777777" w:rsidR="007A5740" w:rsidRPr="0085049B" w:rsidRDefault="007A5740" w:rsidP="007A5740">
            <w:pPr>
              <w:numPr>
                <w:ilvl w:val="1"/>
                <w:numId w:val="9"/>
              </w:numPr>
              <w:overflowPunct/>
              <w:autoSpaceDE/>
              <w:autoSpaceDN/>
              <w:adjustRightInd/>
              <w:spacing w:after="0"/>
              <w:jc w:val="left"/>
              <w:textAlignment w:val="auto"/>
            </w:pPr>
            <w:r w:rsidRPr="0085049B">
              <w:t xml:space="preserve">Details to be discussed during WI phase, including whether the information on TX-RX distance is explicitly </w:t>
            </w:r>
            <w:proofErr w:type="spellStart"/>
            <w:r w:rsidRPr="0085049B">
              <w:t>signaled</w:t>
            </w:r>
            <w:proofErr w:type="spellEnd"/>
            <w:r w:rsidRPr="0085049B">
              <w:t xml:space="preserve"> or implicitly derived, whether/how this operation is related to resource allocation, accuracy of distance and/or RSRP, the aspects related to “and/or”, etc.</w:t>
            </w:r>
          </w:p>
          <w:p w14:paraId="74A89F13" w14:textId="77777777" w:rsidR="007A5740" w:rsidRDefault="007A5740" w:rsidP="005A57F5">
            <w:pPr>
              <w:numPr>
                <w:ilvl w:val="1"/>
                <w:numId w:val="9"/>
              </w:numPr>
              <w:overflowPunct/>
              <w:autoSpaceDE/>
              <w:autoSpaceDN/>
              <w:adjustRightInd/>
              <w:spacing w:after="0"/>
              <w:jc w:val="left"/>
              <w:textAlignment w:val="auto"/>
            </w:pPr>
            <w:r w:rsidRPr="0085049B">
              <w:t>This feature can be disabled/enabled</w:t>
            </w:r>
          </w:p>
          <w:p w14:paraId="565D58FE" w14:textId="68F478ED" w:rsidR="00B02F0A" w:rsidRPr="0039045C" w:rsidRDefault="00B02F0A" w:rsidP="00B02F0A">
            <w:pPr>
              <w:rPr>
                <w:rFonts w:cs="Arial"/>
              </w:rPr>
            </w:pPr>
            <w:r w:rsidRPr="0039045C">
              <w:rPr>
                <w:rFonts w:cs="Arial"/>
              </w:rPr>
              <w:t>RAN2#105</w:t>
            </w:r>
          </w:p>
          <w:p w14:paraId="7CDCF46C" w14:textId="77777777" w:rsidR="0039045C" w:rsidRPr="0039045C" w:rsidRDefault="00B02F0A" w:rsidP="00B02F0A">
            <w:pPr>
              <w:rPr>
                <w:rFonts w:cs="Arial"/>
              </w:rPr>
            </w:pPr>
            <w:r w:rsidRPr="00FA7EA1">
              <w:rPr>
                <w:rFonts w:cs="Arial"/>
                <w:highlight w:val="green"/>
              </w:rPr>
              <w:t>Agreements</w:t>
            </w:r>
          </w:p>
          <w:p w14:paraId="4645663D" w14:textId="708BA93E" w:rsidR="003C0032" w:rsidRPr="007A5740" w:rsidRDefault="00B02F0A" w:rsidP="0039045C">
            <w:r w:rsidRPr="0039045C">
              <w:rPr>
                <w:rFonts w:cs="Arial"/>
              </w:rPr>
              <w:t>3: Any UEs configured to receive a group destination Layer 2 ID shall be allowed to receive the groupcast transmission, in regardless of whether it is within or out of the “minimum communication range”.</w:t>
            </w:r>
          </w:p>
        </w:tc>
      </w:tr>
    </w:tbl>
    <w:p w14:paraId="64EFD2F5" w14:textId="77777777" w:rsidR="0039045C" w:rsidRDefault="0039045C" w:rsidP="005A57F5">
      <w:pPr>
        <w:rPr>
          <w:rFonts w:cs="Arial"/>
        </w:rPr>
      </w:pPr>
    </w:p>
    <w:p w14:paraId="08568BA9" w14:textId="3C83D396" w:rsidR="009A6FAC" w:rsidRDefault="006900C2" w:rsidP="005A57F5">
      <w:pPr>
        <w:rPr>
          <w:rFonts w:cs="Arial"/>
        </w:rPr>
      </w:pPr>
      <w:r>
        <w:rPr>
          <w:rFonts w:cs="Arial"/>
        </w:rPr>
        <w:t xml:space="preserve">According to the agreements and to limit the traffic load caused by </w:t>
      </w:r>
      <w:r w:rsidR="000E5A3E">
        <w:rPr>
          <w:rFonts w:cs="Arial"/>
        </w:rPr>
        <w:t>retransmission</w:t>
      </w:r>
      <w:r w:rsidR="00856626">
        <w:rPr>
          <w:rFonts w:cs="Arial"/>
        </w:rPr>
        <w:t xml:space="preserve">, </w:t>
      </w:r>
      <w:r w:rsidR="00211252">
        <w:rPr>
          <w:rFonts w:cs="Arial"/>
        </w:rPr>
        <w:t>TX UE can be configured to only response, i.e. schedule a retransmission, to those RX UEs that are estimated to be within the communication range.</w:t>
      </w:r>
      <w:r w:rsidR="00856626">
        <w:rPr>
          <w:rFonts w:cs="Arial"/>
        </w:rPr>
        <w:t xml:space="preserve"> </w:t>
      </w:r>
      <w:r w:rsidR="00223197">
        <w:rPr>
          <w:rFonts w:cs="Arial"/>
        </w:rPr>
        <w:t>As such, the reliability of communication within the range can be sustained</w:t>
      </w:r>
      <w:r w:rsidR="009D6B40">
        <w:rPr>
          <w:rFonts w:cs="Arial"/>
        </w:rPr>
        <w:t xml:space="preserve">. </w:t>
      </w:r>
      <w:r w:rsidR="0037319A">
        <w:rPr>
          <w:rFonts w:cs="Arial"/>
        </w:rPr>
        <w:t>Since the communication range can be estimated based on received signal power as in Pro</w:t>
      </w:r>
      <w:r w:rsidR="00225DDB">
        <w:rPr>
          <w:rFonts w:cs="Arial"/>
        </w:rPr>
        <w:t>posal 1</w:t>
      </w:r>
      <w:r w:rsidR="00837D75">
        <w:rPr>
          <w:rFonts w:cs="Arial"/>
        </w:rPr>
        <w:t xml:space="preserve">, TX UE may filter out HARQ feedbacks </w:t>
      </w:r>
      <w:proofErr w:type="gramStart"/>
      <w:r w:rsidR="00837D75">
        <w:rPr>
          <w:rFonts w:cs="Arial"/>
        </w:rPr>
        <w:t>on the basis of</w:t>
      </w:r>
      <w:proofErr w:type="gramEnd"/>
      <w:r w:rsidR="00837D75">
        <w:rPr>
          <w:rFonts w:cs="Arial"/>
        </w:rPr>
        <w:t xml:space="preserve"> the </w:t>
      </w:r>
      <w:r w:rsidR="001B5AC3">
        <w:rPr>
          <w:rFonts w:cs="Arial"/>
        </w:rPr>
        <w:t xml:space="preserve">energy of the PSFCH and a HARQ feedback is considered only if the energy of the associated PSFCH is above a certain threshold. </w:t>
      </w:r>
      <w:r w:rsidR="00D72E82">
        <w:rPr>
          <w:rFonts w:cs="Arial"/>
        </w:rPr>
        <w:t xml:space="preserve"> </w:t>
      </w:r>
    </w:p>
    <w:p w14:paraId="58348F8E" w14:textId="77777777" w:rsidR="009D6B40" w:rsidRDefault="009D6B40" w:rsidP="005A57F5">
      <w:pPr>
        <w:rPr>
          <w:rFonts w:cs="Arial"/>
        </w:rPr>
      </w:pPr>
    </w:p>
    <w:p w14:paraId="13B9E22E" w14:textId="69734E9A" w:rsidR="00662883" w:rsidRPr="00662883" w:rsidRDefault="00C80C9F" w:rsidP="005A57F5">
      <w:pPr>
        <w:pStyle w:val="Proposal"/>
      </w:pPr>
      <w:bookmarkStart w:id="19" w:name="_Ref1033643"/>
      <w:bookmarkStart w:id="20" w:name="_Ref4229682"/>
      <w:bookmarkStart w:id="21" w:name="_Toc4704596"/>
      <w:r w:rsidRPr="00E54080">
        <w:t xml:space="preserve">TX UE may </w:t>
      </w:r>
      <w:r w:rsidR="00921131" w:rsidRPr="00E54080">
        <w:t xml:space="preserve">only consider HARQ feedbacks </w:t>
      </w:r>
      <w:r w:rsidR="00EF04C5" w:rsidRPr="00E54080">
        <w:t>with energy of</w:t>
      </w:r>
      <w:r w:rsidRPr="00E54080">
        <w:t xml:space="preserve"> the associated PSFCH above a certain threshold. Details </w:t>
      </w:r>
      <w:r w:rsidR="00EF04C5" w:rsidRPr="00E54080">
        <w:t>are left</w:t>
      </w:r>
      <w:r w:rsidRPr="00E54080">
        <w:t xml:space="preserve"> to RAN1</w:t>
      </w:r>
      <w:bookmarkEnd w:id="19"/>
      <w:r w:rsidR="00EF04C5" w:rsidRPr="00E54080">
        <w:t xml:space="preserve"> discussion.</w:t>
      </w:r>
      <w:bookmarkEnd w:id="20"/>
      <w:bookmarkEnd w:id="21"/>
      <w:r w:rsidR="00EF04C5" w:rsidRPr="00E54080">
        <w:t xml:space="preserve"> </w:t>
      </w:r>
    </w:p>
    <w:p w14:paraId="1C198529" w14:textId="77777777" w:rsidR="00662883" w:rsidRDefault="00662883" w:rsidP="005A57F5">
      <w:pPr>
        <w:rPr>
          <w:rFonts w:cs="Arial"/>
        </w:rPr>
      </w:pPr>
    </w:p>
    <w:p w14:paraId="35E4284A" w14:textId="22321051" w:rsidR="009E2F6A" w:rsidRDefault="0034340C" w:rsidP="00A41355">
      <w:r>
        <w:t xml:space="preserve">The communication range requirement of a </w:t>
      </w:r>
      <w:r w:rsidR="003B5BCA">
        <w:t xml:space="preserve">groupcast </w:t>
      </w:r>
      <w:r>
        <w:t xml:space="preserve">V2X service is </w:t>
      </w:r>
      <w:r w:rsidR="00DD399F">
        <w:t xml:space="preserve">contained in </w:t>
      </w:r>
      <w:r w:rsidR="003B5BCA">
        <w:t>a corresponding</w:t>
      </w:r>
      <w:r w:rsidR="00DD399F">
        <w:t xml:space="preserve"> PC5 QoS profile,</w:t>
      </w:r>
      <w:r w:rsidR="00F738B5">
        <w:t xml:space="preserve"> </w:t>
      </w:r>
      <w:r w:rsidR="00F463AF">
        <w:t>one or multiple PC5 QoS profiles</w:t>
      </w:r>
      <w:r w:rsidR="00D7354A">
        <w:t xml:space="preserve"> </w:t>
      </w:r>
      <w:r w:rsidR="003B5BCA">
        <w:t xml:space="preserve">will </w:t>
      </w:r>
      <w:r w:rsidR="00F738B5">
        <w:t>be associated with a radio bearer and LCH in access stratum.</w:t>
      </w:r>
      <w:r w:rsidR="00821703">
        <w:t xml:space="preserve"> </w:t>
      </w:r>
      <w:r w:rsidR="00B6109E">
        <w:t xml:space="preserve">At MAC layer, </w:t>
      </w:r>
      <w:r w:rsidR="00336268">
        <w:t xml:space="preserve">data from </w:t>
      </w:r>
      <w:r w:rsidR="00420239">
        <w:t xml:space="preserve">different </w:t>
      </w:r>
      <w:r w:rsidR="00336268">
        <w:t>LCHs may be multiplexed into</w:t>
      </w:r>
      <w:r w:rsidR="00420239">
        <w:t xml:space="preserve"> one MAC PD</w:t>
      </w:r>
      <w:r w:rsidR="00BB55F4">
        <w:t xml:space="preserve">U and be treated in the same way with respect to power control and HARQ </w:t>
      </w:r>
      <w:r w:rsidR="007C3EDA">
        <w:t xml:space="preserve">procedure. Considering those facts, it might be beneficial to </w:t>
      </w:r>
      <w:r w:rsidR="00F67A4E">
        <w:t xml:space="preserve">introduce </w:t>
      </w:r>
      <w:r w:rsidR="00DF1B53">
        <w:t>limitations such that</w:t>
      </w:r>
      <w:r w:rsidR="00C07E0D">
        <w:t xml:space="preserve"> </w:t>
      </w:r>
      <w:r w:rsidR="00616293">
        <w:t>V2X messages with different communication range requirements shall not be multiplexed into the same MAC PDU</w:t>
      </w:r>
      <w:r w:rsidR="00735051">
        <w:t xml:space="preserve">. </w:t>
      </w:r>
      <w:bookmarkStart w:id="22" w:name="_Hlk1061596"/>
    </w:p>
    <w:p w14:paraId="75A8A58D" w14:textId="77777777" w:rsidR="00735051" w:rsidRPr="00C07123" w:rsidRDefault="00735051" w:rsidP="00A41355"/>
    <w:p w14:paraId="0D0FDB83" w14:textId="723FB882" w:rsidR="00E43CC2" w:rsidRDefault="0024002F" w:rsidP="0024002F">
      <w:pPr>
        <w:pStyle w:val="Proposal"/>
      </w:pPr>
      <w:bookmarkStart w:id="23" w:name="_Ref976969"/>
      <w:bookmarkStart w:id="24" w:name="_Ref4229690"/>
      <w:bookmarkStart w:id="25" w:name="_Toc4704597"/>
      <w:r>
        <w:t xml:space="preserve">RAN2 </w:t>
      </w:r>
      <w:bookmarkEnd w:id="22"/>
      <w:bookmarkEnd w:id="23"/>
      <w:r w:rsidR="006B2E90">
        <w:t>introduces limitations such that V2X messages with different communication range requirements shall not be multiplexed into the same MAC PDU.</w:t>
      </w:r>
      <w:bookmarkEnd w:id="24"/>
      <w:bookmarkEnd w:id="25"/>
    </w:p>
    <w:p w14:paraId="7E0CA1CC" w14:textId="77777777" w:rsidR="00201BEF" w:rsidRPr="00E32E8E" w:rsidRDefault="00201BEF" w:rsidP="00201BEF">
      <w:pPr>
        <w:pStyle w:val="Heading1"/>
        <w:overflowPunct/>
        <w:autoSpaceDE/>
        <w:autoSpaceDN/>
        <w:adjustRightInd/>
        <w:textAlignment w:val="auto"/>
      </w:pPr>
      <w:bookmarkStart w:id="26" w:name="_Ref528871418"/>
      <w:bookmarkEnd w:id="4"/>
      <w:bookmarkEnd w:id="5"/>
      <w:bookmarkEnd w:id="6"/>
      <w:bookmarkEnd w:id="7"/>
      <w:r w:rsidRPr="00E32E8E">
        <w:t>Conclusions</w:t>
      </w:r>
      <w:bookmarkEnd w:id="26"/>
    </w:p>
    <w:p w14:paraId="45A7FC5B" w14:textId="314271A5" w:rsidR="00201BEF" w:rsidRDefault="00201BEF" w:rsidP="00201BEF">
      <w:bookmarkStart w:id="27" w:name="_Hlk4352923"/>
      <w:r>
        <w:t xml:space="preserve">In section </w:t>
      </w:r>
      <w:r>
        <w:fldChar w:fldCharType="begin"/>
      </w:r>
      <w:r>
        <w:instrText xml:space="preserve"> REF _Ref490149211 \r \h </w:instrText>
      </w:r>
      <w:r>
        <w:fldChar w:fldCharType="separate"/>
      </w:r>
      <w:r w:rsidR="007B3F2D">
        <w:t>2</w:t>
      </w:r>
      <w:r>
        <w:fldChar w:fldCharType="end"/>
      </w:r>
      <w:r>
        <w:t xml:space="preserve"> we made the following observations:</w:t>
      </w:r>
    </w:p>
    <w:p w14:paraId="659E147F" w14:textId="49CEE6D2" w:rsidR="00B74A96" w:rsidRDefault="00C70B8F" w:rsidP="00C70B8F">
      <w:pPr>
        <w:ind w:left="1440" w:hanging="1440"/>
        <w:rPr>
          <w:b/>
        </w:rPr>
      </w:pPr>
      <w:r>
        <w:rPr>
          <w:b/>
        </w:rPr>
        <w:fldChar w:fldCharType="begin"/>
      </w:r>
      <w:r>
        <w:rPr>
          <w:b/>
        </w:rPr>
        <w:instrText xml:space="preserve"> REF _Ref4229626 \w \h </w:instrText>
      </w:r>
      <w:r>
        <w:rPr>
          <w:b/>
        </w:rPr>
      </w:r>
      <w:r>
        <w:rPr>
          <w:b/>
        </w:rPr>
        <w:fldChar w:fldCharType="separate"/>
      </w:r>
      <w:r>
        <w:rPr>
          <w:b/>
        </w:rPr>
        <w:t>Observation 1</w:t>
      </w:r>
      <w:r>
        <w:rPr>
          <w:b/>
        </w:rPr>
        <w:fldChar w:fldCharType="end"/>
      </w:r>
      <w:r>
        <w:rPr>
          <w:b/>
        </w:rPr>
        <w:tab/>
      </w:r>
      <w:r w:rsidRPr="00B665A7">
        <w:rPr>
          <w:b/>
        </w:rPr>
        <w:fldChar w:fldCharType="begin"/>
      </w:r>
      <w:r w:rsidRPr="00B665A7">
        <w:rPr>
          <w:b/>
        </w:rPr>
        <w:instrText xml:space="preserve"> REF _Ref4229626 \h </w:instrText>
      </w:r>
      <w:r w:rsidR="00B665A7" w:rsidRPr="00B665A7">
        <w:rPr>
          <w:b/>
        </w:rPr>
        <w:instrText xml:space="preserve"> \* MERGEFORMAT </w:instrText>
      </w:r>
      <w:r w:rsidRPr="00B665A7">
        <w:rPr>
          <w:b/>
        </w:rPr>
      </w:r>
      <w:r w:rsidRPr="00B665A7">
        <w:rPr>
          <w:b/>
        </w:rPr>
        <w:fldChar w:fldCharType="separate"/>
      </w:r>
      <w:r w:rsidRPr="00B665A7">
        <w:rPr>
          <w:b/>
        </w:rPr>
        <w:t>At access stratum, distance between TX UE and RX UE can be measured based on exchanged GPS location, or estimated based on received signal power or zone ID.</w:t>
      </w:r>
      <w:r w:rsidRPr="00B665A7">
        <w:rPr>
          <w:b/>
        </w:rPr>
        <w:fldChar w:fldCharType="end"/>
      </w:r>
    </w:p>
    <w:p w14:paraId="7468F170" w14:textId="77777777" w:rsidR="00C70B8F" w:rsidRDefault="00C70B8F" w:rsidP="00201BEF">
      <w:pPr>
        <w:rPr>
          <w:b/>
        </w:rPr>
      </w:pPr>
    </w:p>
    <w:p w14:paraId="777D98A4" w14:textId="08085BCF" w:rsidR="00201BEF" w:rsidRDefault="00201BEF" w:rsidP="00201BEF">
      <w:r>
        <w:t xml:space="preserve">Based on the discussion in section </w:t>
      </w:r>
      <w:r>
        <w:fldChar w:fldCharType="begin"/>
      </w:r>
      <w:r>
        <w:instrText xml:space="preserve"> REF _Ref490149211 \r \h </w:instrText>
      </w:r>
      <w:r>
        <w:fldChar w:fldCharType="separate"/>
      </w:r>
      <w:r w:rsidR="002375A1">
        <w:t>1</w:t>
      </w:r>
      <w:r>
        <w:fldChar w:fldCharType="end"/>
      </w:r>
      <w:r>
        <w:t xml:space="preserve"> we propose the following:</w:t>
      </w:r>
    </w:p>
    <w:p w14:paraId="2337C8D7" w14:textId="77777777" w:rsidR="009435EA" w:rsidRDefault="00192350">
      <w:pPr>
        <w:pStyle w:val="TableofFigures"/>
        <w:tabs>
          <w:tab w:val="left" w:pos="1701"/>
          <w:tab w:val="right" w:leader="dot" w:pos="9629"/>
        </w:tabs>
        <w:rPr>
          <w:rFonts w:asciiTheme="minorHAnsi" w:eastAsiaTheme="minorEastAsia" w:hAnsiTheme="minorHAnsi" w:cstheme="minorBidi"/>
          <w:b w:val="0"/>
          <w:noProof/>
          <w:sz w:val="22"/>
          <w:szCs w:val="22"/>
        </w:rPr>
      </w:pPr>
      <w:r>
        <w:lastRenderedPageBreak/>
        <w:fldChar w:fldCharType="begin"/>
      </w:r>
      <w:r>
        <w:instrText xml:space="preserve"> TOC \n \h \z \t "Proposal" \c </w:instrText>
      </w:r>
      <w:r>
        <w:fldChar w:fldCharType="separate"/>
      </w:r>
      <w:hyperlink w:anchor="_Toc4704594" w:history="1">
        <w:r w:rsidR="009435EA" w:rsidRPr="009E4198">
          <w:rPr>
            <w:rStyle w:val="Hyperlink"/>
            <w:noProof/>
          </w:rPr>
          <w:t>Proposal 1</w:t>
        </w:r>
        <w:r w:rsidR="009435EA">
          <w:rPr>
            <w:rFonts w:asciiTheme="minorHAnsi" w:eastAsiaTheme="minorEastAsia" w:hAnsiTheme="minorHAnsi" w:cstheme="minorBidi"/>
            <w:b w:val="0"/>
            <w:noProof/>
            <w:sz w:val="22"/>
            <w:szCs w:val="22"/>
          </w:rPr>
          <w:tab/>
        </w:r>
        <w:r w:rsidR="009435EA" w:rsidRPr="009E4198">
          <w:rPr>
            <w:rStyle w:val="Hyperlink"/>
            <w:noProof/>
          </w:rPr>
          <w:t>It is up to RAN1 to determine how communication distance is measured/estimated.</w:t>
        </w:r>
      </w:hyperlink>
    </w:p>
    <w:p w14:paraId="2E20AF28" w14:textId="77777777" w:rsidR="009435EA" w:rsidRDefault="00805BA4" w:rsidP="009435EA">
      <w:pPr>
        <w:pStyle w:val="TableofFigures"/>
        <w:tabs>
          <w:tab w:val="left" w:pos="1701"/>
          <w:tab w:val="right" w:leader="dot" w:pos="9629"/>
        </w:tabs>
        <w:ind w:left="1695" w:hanging="1695"/>
        <w:rPr>
          <w:rFonts w:asciiTheme="minorHAnsi" w:eastAsiaTheme="minorEastAsia" w:hAnsiTheme="minorHAnsi" w:cstheme="minorBidi"/>
          <w:b w:val="0"/>
          <w:noProof/>
          <w:sz w:val="22"/>
          <w:szCs w:val="22"/>
        </w:rPr>
      </w:pPr>
      <w:hyperlink w:anchor="_Toc4704595" w:history="1">
        <w:r w:rsidR="009435EA" w:rsidRPr="009E4198">
          <w:rPr>
            <w:rStyle w:val="Hyperlink"/>
            <w:noProof/>
          </w:rPr>
          <w:t>Proposal 2</w:t>
        </w:r>
        <w:r w:rsidR="009435EA">
          <w:rPr>
            <w:rFonts w:asciiTheme="minorHAnsi" w:eastAsiaTheme="minorEastAsia" w:hAnsiTheme="minorHAnsi" w:cstheme="minorBidi"/>
            <w:b w:val="0"/>
            <w:noProof/>
            <w:sz w:val="22"/>
            <w:szCs w:val="22"/>
          </w:rPr>
          <w:tab/>
        </w:r>
        <w:r w:rsidR="009435EA" w:rsidRPr="009E4198">
          <w:rPr>
            <w:rStyle w:val="Hyperlink"/>
            <w:noProof/>
          </w:rPr>
          <w:t>Communication range is an input for controlling the transmission power, particularly for groupcast. Details are left to RAN1 discussion.</w:t>
        </w:r>
      </w:hyperlink>
    </w:p>
    <w:p w14:paraId="36EC5D36" w14:textId="77777777" w:rsidR="009435EA" w:rsidRDefault="00805BA4" w:rsidP="009435EA">
      <w:pPr>
        <w:pStyle w:val="TableofFigures"/>
        <w:tabs>
          <w:tab w:val="left" w:pos="1701"/>
          <w:tab w:val="right" w:leader="dot" w:pos="9629"/>
        </w:tabs>
        <w:ind w:left="1695" w:hanging="1695"/>
        <w:rPr>
          <w:rFonts w:asciiTheme="minorHAnsi" w:eastAsiaTheme="minorEastAsia" w:hAnsiTheme="minorHAnsi" w:cstheme="minorBidi"/>
          <w:b w:val="0"/>
          <w:noProof/>
          <w:sz w:val="22"/>
          <w:szCs w:val="22"/>
        </w:rPr>
      </w:pPr>
      <w:hyperlink w:anchor="_Toc4704596" w:history="1">
        <w:r w:rsidR="009435EA" w:rsidRPr="009E4198">
          <w:rPr>
            <w:rStyle w:val="Hyperlink"/>
            <w:noProof/>
          </w:rPr>
          <w:t>Proposal 3</w:t>
        </w:r>
        <w:r w:rsidR="009435EA">
          <w:rPr>
            <w:rFonts w:asciiTheme="minorHAnsi" w:eastAsiaTheme="minorEastAsia" w:hAnsiTheme="minorHAnsi" w:cstheme="minorBidi"/>
            <w:b w:val="0"/>
            <w:noProof/>
            <w:sz w:val="22"/>
            <w:szCs w:val="22"/>
          </w:rPr>
          <w:tab/>
        </w:r>
        <w:r w:rsidR="009435EA" w:rsidRPr="009E4198">
          <w:rPr>
            <w:rStyle w:val="Hyperlink"/>
            <w:noProof/>
          </w:rPr>
          <w:t>TX UE may only consider HARQ feedbacks with energy of the associated PSFCH above a certain threshold. Details are left to RAN1 discussion.</w:t>
        </w:r>
      </w:hyperlink>
    </w:p>
    <w:p w14:paraId="24C0A5A1" w14:textId="37109E5B" w:rsidR="009435EA" w:rsidRDefault="00805BA4" w:rsidP="00B81444">
      <w:pPr>
        <w:pStyle w:val="TableofFigures"/>
        <w:tabs>
          <w:tab w:val="left" w:pos="1701"/>
          <w:tab w:val="right" w:leader="dot" w:pos="9629"/>
        </w:tabs>
        <w:ind w:left="1695" w:hanging="1695"/>
        <w:rPr>
          <w:rFonts w:asciiTheme="minorHAnsi" w:eastAsiaTheme="minorEastAsia" w:hAnsiTheme="minorHAnsi" w:cstheme="minorBidi"/>
          <w:b w:val="0"/>
          <w:noProof/>
          <w:sz w:val="22"/>
          <w:szCs w:val="22"/>
        </w:rPr>
      </w:pPr>
      <w:hyperlink w:anchor="_Toc4704597" w:history="1">
        <w:r w:rsidR="009435EA" w:rsidRPr="009E4198">
          <w:rPr>
            <w:rStyle w:val="Hyperlink"/>
            <w:noProof/>
          </w:rPr>
          <w:t>Proposal 4</w:t>
        </w:r>
        <w:r w:rsidR="009435EA">
          <w:rPr>
            <w:rFonts w:asciiTheme="minorHAnsi" w:eastAsiaTheme="minorEastAsia" w:hAnsiTheme="minorHAnsi" w:cstheme="minorBidi"/>
            <w:b w:val="0"/>
            <w:noProof/>
            <w:sz w:val="22"/>
            <w:szCs w:val="22"/>
          </w:rPr>
          <w:tab/>
        </w:r>
        <w:r w:rsidR="00B81444">
          <w:rPr>
            <w:rFonts w:asciiTheme="minorHAnsi" w:eastAsiaTheme="minorEastAsia" w:hAnsiTheme="minorHAnsi" w:cstheme="minorBidi"/>
            <w:b w:val="0"/>
            <w:noProof/>
            <w:sz w:val="22"/>
            <w:szCs w:val="22"/>
          </w:rPr>
          <w:tab/>
        </w:r>
        <w:r w:rsidR="009435EA" w:rsidRPr="009E4198">
          <w:rPr>
            <w:rStyle w:val="Hyperlink"/>
            <w:noProof/>
          </w:rPr>
          <w:t>RAN2 introduces limitations such that V2X messages with different communication range requirements shall not be multiplexed into the same MAC PDU.</w:t>
        </w:r>
      </w:hyperlink>
    </w:p>
    <w:p w14:paraId="43B6BEAF" w14:textId="7E83D964" w:rsidR="00192350" w:rsidRDefault="00192350" w:rsidP="00201BEF">
      <w:r>
        <w:fldChar w:fldCharType="end"/>
      </w:r>
    </w:p>
    <w:bookmarkEnd w:id="27"/>
    <w:p w14:paraId="4D2BC573" w14:textId="77777777" w:rsidR="00201BEF" w:rsidRDefault="00201BEF" w:rsidP="00201BEF">
      <w:pPr>
        <w:pStyle w:val="Heading1"/>
      </w:pPr>
      <w:r>
        <w:t>References</w:t>
      </w:r>
    </w:p>
    <w:p w14:paraId="01B40BF6" w14:textId="77777777" w:rsidR="00201BEF" w:rsidRDefault="00201BEF" w:rsidP="00201BEF"/>
    <w:p w14:paraId="733BA0A0" w14:textId="77777777" w:rsidR="00201BEF" w:rsidRPr="00F85007" w:rsidRDefault="00201BEF" w:rsidP="00201BEF">
      <w:pPr>
        <w:pStyle w:val="Reference"/>
        <w:numPr>
          <w:ilvl w:val="0"/>
          <w:numId w:val="0"/>
        </w:numPr>
        <w:ind w:left="567" w:hanging="567"/>
        <w:rPr>
          <w:rFonts w:cs="Arial"/>
          <w:color w:val="312E25"/>
          <w:lang w:eastAsia="sv-SE"/>
        </w:rPr>
      </w:pPr>
    </w:p>
    <w:p w14:paraId="518E062C"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C0D55" w14:textId="77777777" w:rsidR="00805BA4" w:rsidRDefault="00805BA4">
      <w:pPr>
        <w:spacing w:after="0"/>
      </w:pPr>
      <w:r>
        <w:separator/>
      </w:r>
    </w:p>
  </w:endnote>
  <w:endnote w:type="continuationSeparator" w:id="0">
    <w:p w14:paraId="3985ACC8" w14:textId="77777777" w:rsidR="00805BA4" w:rsidRDefault="00805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448CD" w14:textId="77777777" w:rsidR="00805BA4" w:rsidRDefault="00805BA4">
      <w:pPr>
        <w:spacing w:after="0"/>
      </w:pPr>
      <w:r>
        <w:separator/>
      </w:r>
    </w:p>
  </w:footnote>
  <w:footnote w:type="continuationSeparator" w:id="0">
    <w:p w14:paraId="7193355A" w14:textId="77777777" w:rsidR="00805BA4" w:rsidRDefault="00805B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2E90075C"/>
    <w:multiLevelType w:val="hybridMultilevel"/>
    <w:tmpl w:val="2C3A2D76"/>
    <w:lvl w:ilvl="0" w:tplc="6BB476C6">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12064"/>
    <w:rsid w:val="0001251D"/>
    <w:rsid w:val="0001595E"/>
    <w:rsid w:val="000223DA"/>
    <w:rsid w:val="0002250B"/>
    <w:rsid w:val="000304B8"/>
    <w:rsid w:val="00044FF3"/>
    <w:rsid w:val="000540F0"/>
    <w:rsid w:val="00086C1B"/>
    <w:rsid w:val="000C4680"/>
    <w:rsid w:val="000E5A3E"/>
    <w:rsid w:val="000E7BE6"/>
    <w:rsid w:val="000F65BD"/>
    <w:rsid w:val="0010178F"/>
    <w:rsid w:val="001054BC"/>
    <w:rsid w:val="0011718B"/>
    <w:rsid w:val="00140CF4"/>
    <w:rsid w:val="00160515"/>
    <w:rsid w:val="00162F03"/>
    <w:rsid w:val="00176A6E"/>
    <w:rsid w:val="00192350"/>
    <w:rsid w:val="0019459C"/>
    <w:rsid w:val="001964AB"/>
    <w:rsid w:val="001B5AC3"/>
    <w:rsid w:val="001F22F1"/>
    <w:rsid w:val="001F4312"/>
    <w:rsid w:val="00201BEF"/>
    <w:rsid w:val="00207F21"/>
    <w:rsid w:val="00211252"/>
    <w:rsid w:val="00217D6E"/>
    <w:rsid w:val="00223197"/>
    <w:rsid w:val="00225DDB"/>
    <w:rsid w:val="00235115"/>
    <w:rsid w:val="002375A1"/>
    <w:rsid w:val="0024002F"/>
    <w:rsid w:val="002434C5"/>
    <w:rsid w:val="00246082"/>
    <w:rsid w:val="0026251F"/>
    <w:rsid w:val="00274793"/>
    <w:rsid w:val="00275352"/>
    <w:rsid w:val="002A0228"/>
    <w:rsid w:val="002A4476"/>
    <w:rsid w:val="002B7F56"/>
    <w:rsid w:val="002E7776"/>
    <w:rsid w:val="00336268"/>
    <w:rsid w:val="0034340C"/>
    <w:rsid w:val="003455AA"/>
    <w:rsid w:val="00353345"/>
    <w:rsid w:val="003551F0"/>
    <w:rsid w:val="0035699E"/>
    <w:rsid w:val="00365053"/>
    <w:rsid w:val="003673B0"/>
    <w:rsid w:val="0037319A"/>
    <w:rsid w:val="003756D5"/>
    <w:rsid w:val="00384689"/>
    <w:rsid w:val="0038632E"/>
    <w:rsid w:val="0039045C"/>
    <w:rsid w:val="003B158C"/>
    <w:rsid w:val="003B5BCA"/>
    <w:rsid w:val="003C0032"/>
    <w:rsid w:val="003C2573"/>
    <w:rsid w:val="003D2A99"/>
    <w:rsid w:val="003D5EBD"/>
    <w:rsid w:val="003D7527"/>
    <w:rsid w:val="00400DB4"/>
    <w:rsid w:val="00412244"/>
    <w:rsid w:val="00420239"/>
    <w:rsid w:val="004202D6"/>
    <w:rsid w:val="00445476"/>
    <w:rsid w:val="00447F9A"/>
    <w:rsid w:val="004506EA"/>
    <w:rsid w:val="00456D11"/>
    <w:rsid w:val="00462169"/>
    <w:rsid w:val="004759BD"/>
    <w:rsid w:val="004829E4"/>
    <w:rsid w:val="0049139D"/>
    <w:rsid w:val="0049379F"/>
    <w:rsid w:val="00497CB2"/>
    <w:rsid w:val="004A0F92"/>
    <w:rsid w:val="004D1549"/>
    <w:rsid w:val="004E13C4"/>
    <w:rsid w:val="004E188E"/>
    <w:rsid w:val="004E3AD1"/>
    <w:rsid w:val="005226E1"/>
    <w:rsid w:val="005267B6"/>
    <w:rsid w:val="00537ABB"/>
    <w:rsid w:val="00577DA4"/>
    <w:rsid w:val="005A57F5"/>
    <w:rsid w:val="005B07A5"/>
    <w:rsid w:val="005C27EC"/>
    <w:rsid w:val="005C51FF"/>
    <w:rsid w:val="005C6DD2"/>
    <w:rsid w:val="005D209C"/>
    <w:rsid w:val="005F0C3A"/>
    <w:rsid w:val="00616293"/>
    <w:rsid w:val="006323B4"/>
    <w:rsid w:val="00642C1D"/>
    <w:rsid w:val="006435B1"/>
    <w:rsid w:val="00662883"/>
    <w:rsid w:val="0066643D"/>
    <w:rsid w:val="006815B4"/>
    <w:rsid w:val="00687DB5"/>
    <w:rsid w:val="006900C2"/>
    <w:rsid w:val="006B2E90"/>
    <w:rsid w:val="006B528E"/>
    <w:rsid w:val="006F4146"/>
    <w:rsid w:val="00711C36"/>
    <w:rsid w:val="007261B6"/>
    <w:rsid w:val="00731F9C"/>
    <w:rsid w:val="0073340E"/>
    <w:rsid w:val="00735051"/>
    <w:rsid w:val="00747F8D"/>
    <w:rsid w:val="007A0CE2"/>
    <w:rsid w:val="007A5740"/>
    <w:rsid w:val="007B3F2D"/>
    <w:rsid w:val="007C05B0"/>
    <w:rsid w:val="007C394A"/>
    <w:rsid w:val="007C3EDA"/>
    <w:rsid w:val="007C7168"/>
    <w:rsid w:val="00802245"/>
    <w:rsid w:val="00805BA4"/>
    <w:rsid w:val="0081407A"/>
    <w:rsid w:val="00821703"/>
    <w:rsid w:val="00821C2A"/>
    <w:rsid w:val="008274F6"/>
    <w:rsid w:val="00835C4B"/>
    <w:rsid w:val="00837D75"/>
    <w:rsid w:val="00846CC0"/>
    <w:rsid w:val="00850B63"/>
    <w:rsid w:val="00855447"/>
    <w:rsid w:val="00856626"/>
    <w:rsid w:val="008626B9"/>
    <w:rsid w:val="00882A02"/>
    <w:rsid w:val="00884B31"/>
    <w:rsid w:val="008B13C1"/>
    <w:rsid w:val="008B66CE"/>
    <w:rsid w:val="008C0E4E"/>
    <w:rsid w:val="008E41FE"/>
    <w:rsid w:val="009144F3"/>
    <w:rsid w:val="00921131"/>
    <w:rsid w:val="00925133"/>
    <w:rsid w:val="009435EA"/>
    <w:rsid w:val="00956888"/>
    <w:rsid w:val="00987E43"/>
    <w:rsid w:val="009A1997"/>
    <w:rsid w:val="009A6FAC"/>
    <w:rsid w:val="009C42D4"/>
    <w:rsid w:val="009D6B40"/>
    <w:rsid w:val="009E2F6A"/>
    <w:rsid w:val="00A052EA"/>
    <w:rsid w:val="00A079D4"/>
    <w:rsid w:val="00A20B11"/>
    <w:rsid w:val="00A36825"/>
    <w:rsid w:val="00A41355"/>
    <w:rsid w:val="00A76933"/>
    <w:rsid w:val="00A94997"/>
    <w:rsid w:val="00AA2E23"/>
    <w:rsid w:val="00AB4383"/>
    <w:rsid w:val="00AD378A"/>
    <w:rsid w:val="00AE7E6D"/>
    <w:rsid w:val="00B02F0A"/>
    <w:rsid w:val="00B06D60"/>
    <w:rsid w:val="00B13741"/>
    <w:rsid w:val="00B17E9E"/>
    <w:rsid w:val="00B32F7F"/>
    <w:rsid w:val="00B6109E"/>
    <w:rsid w:val="00B649E4"/>
    <w:rsid w:val="00B665A7"/>
    <w:rsid w:val="00B74160"/>
    <w:rsid w:val="00B74A96"/>
    <w:rsid w:val="00B81444"/>
    <w:rsid w:val="00B9607B"/>
    <w:rsid w:val="00BA2338"/>
    <w:rsid w:val="00BB0F20"/>
    <w:rsid w:val="00BB55F4"/>
    <w:rsid w:val="00BC1258"/>
    <w:rsid w:val="00BD6D09"/>
    <w:rsid w:val="00BD79F3"/>
    <w:rsid w:val="00C07123"/>
    <w:rsid w:val="00C07E0D"/>
    <w:rsid w:val="00C35A27"/>
    <w:rsid w:val="00C70B8F"/>
    <w:rsid w:val="00C80C9F"/>
    <w:rsid w:val="00CA72A3"/>
    <w:rsid w:val="00CB78B0"/>
    <w:rsid w:val="00CC6F3F"/>
    <w:rsid w:val="00CD7124"/>
    <w:rsid w:val="00CE28E3"/>
    <w:rsid w:val="00CE7416"/>
    <w:rsid w:val="00CE7C71"/>
    <w:rsid w:val="00D02A0C"/>
    <w:rsid w:val="00D03BEB"/>
    <w:rsid w:val="00D13E06"/>
    <w:rsid w:val="00D3369C"/>
    <w:rsid w:val="00D41BBD"/>
    <w:rsid w:val="00D642E7"/>
    <w:rsid w:val="00D66E48"/>
    <w:rsid w:val="00D72E82"/>
    <w:rsid w:val="00D7354A"/>
    <w:rsid w:val="00D92138"/>
    <w:rsid w:val="00DA1995"/>
    <w:rsid w:val="00DA1AC1"/>
    <w:rsid w:val="00DB41F5"/>
    <w:rsid w:val="00DD399F"/>
    <w:rsid w:val="00DE0F73"/>
    <w:rsid w:val="00DF1B53"/>
    <w:rsid w:val="00DF4BE3"/>
    <w:rsid w:val="00E07E57"/>
    <w:rsid w:val="00E1665A"/>
    <w:rsid w:val="00E16C71"/>
    <w:rsid w:val="00E25662"/>
    <w:rsid w:val="00E4052A"/>
    <w:rsid w:val="00E43CC2"/>
    <w:rsid w:val="00E46B05"/>
    <w:rsid w:val="00E54080"/>
    <w:rsid w:val="00E5483B"/>
    <w:rsid w:val="00EC4A80"/>
    <w:rsid w:val="00EC57CC"/>
    <w:rsid w:val="00ED6B49"/>
    <w:rsid w:val="00EF04C5"/>
    <w:rsid w:val="00EF692E"/>
    <w:rsid w:val="00F034CC"/>
    <w:rsid w:val="00F33619"/>
    <w:rsid w:val="00F359D7"/>
    <w:rsid w:val="00F41AF8"/>
    <w:rsid w:val="00F463AF"/>
    <w:rsid w:val="00F621C7"/>
    <w:rsid w:val="00F67A4E"/>
    <w:rsid w:val="00F738B5"/>
    <w:rsid w:val="00F81F8F"/>
    <w:rsid w:val="00F876FF"/>
    <w:rsid w:val="00F96DB5"/>
    <w:rsid w:val="00FA48A4"/>
    <w:rsid w:val="00FA7EA1"/>
    <w:rsid w:val="00FC348B"/>
    <w:rsid w:val="00FC71EC"/>
    <w:rsid w:val="00FD15D2"/>
    <w:rsid w:val="00FD2BF3"/>
    <w:rsid w:val="00FE5EE3"/>
    <w:rsid w:val="00FF3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table" w:styleId="TableGrid">
    <w:name w:val="Table Grid"/>
    <w:basedOn w:val="TableNormal"/>
    <w:uiPriority w:val="39"/>
    <w:rsid w:val="0064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5A57F5"/>
    <w:rPr>
      <w:sz w:val="16"/>
      <w:szCs w:val="16"/>
    </w:rPr>
  </w:style>
  <w:style w:type="paragraph" w:styleId="CommentText">
    <w:name w:val="annotation text"/>
    <w:basedOn w:val="Normal"/>
    <w:link w:val="CommentTextChar"/>
    <w:rsid w:val="005A57F5"/>
  </w:style>
  <w:style w:type="character" w:customStyle="1" w:styleId="CommentTextChar">
    <w:name w:val="Comment Text Char"/>
    <w:basedOn w:val="DefaultParagraphFont"/>
    <w:link w:val="CommentText"/>
    <w:rsid w:val="005A57F5"/>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5A57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7F5"/>
    <w:rPr>
      <w:rFonts w:ascii="Segoe UI" w:eastAsia="Times New Roman" w:hAnsi="Segoe UI" w:cs="Segoe UI"/>
      <w:sz w:val="18"/>
      <w:szCs w:val="18"/>
      <w:lang w:val="en-GB"/>
    </w:rPr>
  </w:style>
  <w:style w:type="paragraph" w:styleId="ListParagraph">
    <w:name w:val="List Paragraph"/>
    <w:basedOn w:val="Normal"/>
    <w:uiPriority w:val="34"/>
    <w:qFormat/>
    <w:rsid w:val="009A6FAC"/>
    <w:pPr>
      <w:ind w:left="720"/>
      <w:contextualSpacing/>
    </w:pPr>
  </w:style>
  <w:style w:type="paragraph" w:styleId="CommentSubject">
    <w:name w:val="annotation subject"/>
    <w:basedOn w:val="CommentText"/>
    <w:next w:val="CommentText"/>
    <w:link w:val="CommentSubjectChar"/>
    <w:uiPriority w:val="99"/>
    <w:semiHidden/>
    <w:unhideWhenUsed/>
    <w:rsid w:val="00D66E48"/>
    <w:rPr>
      <w:b/>
      <w:bCs/>
    </w:rPr>
  </w:style>
  <w:style w:type="character" w:customStyle="1" w:styleId="CommentSubjectChar">
    <w:name w:val="Comment Subject Char"/>
    <w:basedOn w:val="CommentTextChar"/>
    <w:link w:val="CommentSubject"/>
    <w:uiPriority w:val="99"/>
    <w:semiHidden/>
    <w:rsid w:val="00D66E48"/>
    <w:rPr>
      <w:rFonts w:ascii="Arial" w:eastAsia="Times New Roman" w:hAnsi="Arial" w:cs="Times New Roman"/>
      <w:b/>
      <w:bCs/>
      <w:sz w:val="20"/>
      <w:szCs w:val="20"/>
      <w:lang w:val="en-GB"/>
    </w:rPr>
  </w:style>
  <w:style w:type="paragraph" w:styleId="TableofFigures">
    <w:name w:val="table of figures"/>
    <w:basedOn w:val="Normal"/>
    <w:next w:val="Normal"/>
    <w:uiPriority w:val="99"/>
    <w:unhideWhenUsed/>
    <w:rsid w:val="00192350"/>
    <w:pPr>
      <w:spacing w:after="0"/>
    </w:pPr>
    <w:rPr>
      <w:b/>
    </w:rPr>
  </w:style>
  <w:style w:type="character" w:styleId="Hyperlink">
    <w:name w:val="Hyperlink"/>
    <w:basedOn w:val="DefaultParagraphFont"/>
    <w:uiPriority w:val="99"/>
    <w:unhideWhenUsed/>
    <w:rsid w:val="001923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5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5NUHHDQN7SK2-1476151046-31451</_dlc_DocId>
    <_dlc_DocIdUrl xmlns="f166a696-7b5b-4ccd-9f0c-ffde0cceec81">
      <Url>https://ericsson.sharepoint.com/sites/star/_layouts/15/DocIdRedir.aspx?ID=5NUHHDQN7SK2-1476151046-31451</Url>
      <Description>5NUHHDQN7SK2-1476151046-31451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2D77FD8-FA99-4F33-9763-539AC1423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EC8116-A95B-4BEB-9A46-FC1E9D977A21}">
  <ds:schemaRefs>
    <ds:schemaRef ds:uri="Microsoft.SharePoint.Taxonomy.ContentTypeSync"/>
  </ds:schemaRefs>
</ds:datastoreItem>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02FC0AC-69EB-4FFC-BC75-3E00341EEA0A}">
  <ds:schemaRefs>
    <ds:schemaRef ds:uri="http://schemas.microsoft.com/sharepoint/events"/>
  </ds:schemaRefs>
</ds:datastoreItem>
</file>

<file path=customXml/itemProps5.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6.xml><?xml version="1.0" encoding="utf-8"?>
<ds:datastoreItem xmlns:ds="http://schemas.openxmlformats.org/officeDocument/2006/customXml" ds:itemID="{0C5C77D7-3288-45C1-B9BD-EC14C342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177</cp:revision>
  <dcterms:created xsi:type="dcterms:W3CDTF">2018-11-01T19:36:00Z</dcterms:created>
  <dcterms:modified xsi:type="dcterms:W3CDTF">2019-03-29T00:17:00Z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e27a0aa3-4270-4eea-a559-8e6f657398f7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8704">
    <vt:lpwstr>53</vt:lpwstr>
  </property>
  <property fmtid="{D5CDD505-2E9C-101B-9397-08002B2CF9AE}" pid="14" name="Order">
    <vt:r8>3101600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ies>
</file>